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cs="Times New Roman"/>
          <w:sz w:val="28"/>
          <w:szCs w:val="28"/>
        </w:rPr>
      </w:pPr>
      <w:r>
        <w:rPr>
          <w:rFonts w:hint="default" w:ascii="Times New Roman" w:hAnsi="Times New Roman" w:eastAsia="方正小标宋简体" w:cs="Times New Roman"/>
          <w:b w:val="0"/>
          <w:bCs w:val="0"/>
          <w:spacing w:val="-20"/>
          <w:sz w:val="44"/>
          <w:szCs w:val="44"/>
        </w:rPr>
        <w:t>关于</w:t>
      </w:r>
      <w:r>
        <w:rPr>
          <w:rFonts w:hint="eastAsia" w:ascii="Times New Roman" w:hAnsi="Times New Roman" w:eastAsia="方正小标宋简体" w:cs="Times New Roman"/>
          <w:b w:val="0"/>
          <w:bCs w:val="0"/>
          <w:spacing w:val="-20"/>
          <w:sz w:val="44"/>
          <w:szCs w:val="44"/>
          <w:lang w:eastAsia="zh-CN"/>
        </w:rPr>
        <w:t>安徽杨柳-南坪220KV线路工程项目</w:t>
      </w:r>
      <w:r>
        <w:rPr>
          <w:rFonts w:hint="default" w:ascii="Times New Roman" w:hAnsi="Times New Roman" w:eastAsia="方正小标宋简体" w:cs="Times New Roman"/>
          <w:b w:val="0"/>
          <w:bCs w:val="0"/>
          <w:spacing w:val="-20"/>
          <w:sz w:val="44"/>
          <w:szCs w:val="44"/>
          <w:lang w:val="en-US" w:eastAsia="zh-CN"/>
        </w:rPr>
        <w:t>等</w:t>
      </w:r>
      <w:r>
        <w:rPr>
          <w:rFonts w:hint="default" w:ascii="Times New Roman" w:hAnsi="Times New Roman" w:eastAsia="方正小标宋简体" w:cs="Times New Roman"/>
          <w:b w:val="0"/>
          <w:bCs w:val="0"/>
          <w:spacing w:val="-20"/>
          <w:sz w:val="44"/>
          <w:szCs w:val="44"/>
        </w:rPr>
        <w:t>项目水土保持</w:t>
      </w:r>
      <w:r>
        <w:rPr>
          <w:rFonts w:hint="eastAsia" w:ascii="Times New Roman" w:hAnsi="Times New Roman" w:eastAsia="方正小标宋简体" w:cs="Times New Roman"/>
          <w:b w:val="0"/>
          <w:bCs w:val="0"/>
          <w:spacing w:val="-20"/>
          <w:sz w:val="44"/>
          <w:szCs w:val="44"/>
          <w:lang w:val="en-US" w:eastAsia="zh-CN"/>
        </w:rPr>
        <w:t>现场</w:t>
      </w:r>
      <w:r>
        <w:rPr>
          <w:rFonts w:hint="default" w:ascii="Times New Roman" w:hAnsi="Times New Roman" w:eastAsia="方正小标宋简体" w:cs="Times New Roman"/>
          <w:b w:val="0"/>
          <w:bCs w:val="0"/>
          <w:spacing w:val="-20"/>
          <w:sz w:val="44"/>
          <w:szCs w:val="44"/>
          <w:lang w:eastAsia="zh-CN"/>
        </w:rPr>
        <w:t>指导</w:t>
      </w:r>
      <w:r>
        <w:rPr>
          <w:rFonts w:hint="default" w:ascii="Times New Roman" w:hAnsi="Times New Roman" w:eastAsia="方正小标宋简体" w:cs="Times New Roman"/>
          <w:b w:val="0"/>
          <w:bCs w:val="0"/>
          <w:spacing w:val="-20"/>
          <w:sz w:val="44"/>
          <w:szCs w:val="44"/>
        </w:rPr>
        <w:t>的意见</w:t>
      </w:r>
    </w:p>
    <w:p>
      <w:pPr>
        <w:adjustRightInd w:val="0"/>
        <w:snapToGrid w:val="0"/>
        <w:spacing w:line="360" w:lineRule="auto"/>
        <w:rPr>
          <w:rFonts w:hint="default" w:ascii="Times New Roman" w:hAnsi="Times New Roman" w:eastAsia="仿宋_GB2312" w:cs="Times New Roman"/>
          <w:sz w:val="32"/>
          <w:szCs w:val="32"/>
        </w:rPr>
      </w:pPr>
    </w:p>
    <w:p>
      <w:pPr>
        <w:keepNext w:val="0"/>
        <w:keepLines w:val="0"/>
        <w:pageBreakBefore w:val="0"/>
        <w:widowControl w:val="0"/>
        <w:kinsoku/>
        <w:overflowPunct/>
        <w:topLinePunct w:val="0"/>
        <w:bidi w:val="0"/>
        <w:adjustRightInd w:val="0"/>
        <w:snapToGrid w:val="0"/>
        <w:spacing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国网安徽省电力有限公司淮北供电公司</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val="0"/>
        <w:autoSpaceDN w:val="0"/>
        <w:bidi w:val="0"/>
        <w:adjustRightIn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日，我局委托技术服务单位对</w:t>
      </w:r>
      <w:r>
        <w:rPr>
          <w:rFonts w:hint="eastAsia" w:ascii="仿宋_GB2312" w:hAnsi="仿宋_GB2312" w:eastAsia="仿宋_GB2312" w:cs="仿宋_GB2312"/>
          <w:sz w:val="32"/>
          <w:szCs w:val="32"/>
          <w:lang w:eastAsia="zh-CN"/>
        </w:rPr>
        <w:t>安徽杨柳-南坪220KV线路工程项目等</w:t>
      </w:r>
      <w:r>
        <w:rPr>
          <w:rFonts w:hint="eastAsia" w:ascii="仿宋_GB2312" w:hAnsi="仿宋_GB2312" w:eastAsia="仿宋_GB2312" w:cs="仿宋_GB2312"/>
          <w:sz w:val="32"/>
          <w:szCs w:val="32"/>
          <w:lang w:val="en-US" w:eastAsia="zh-CN"/>
        </w:rPr>
        <w:t>5个</w:t>
      </w:r>
      <w:r>
        <w:rPr>
          <w:rFonts w:hint="eastAsia" w:ascii="仿宋_GB2312" w:hAnsi="仿宋_GB2312" w:eastAsia="仿宋_GB2312" w:cs="仿宋_GB2312"/>
          <w:sz w:val="32"/>
          <w:szCs w:val="32"/>
        </w:rPr>
        <w:t>项目开展了水土保持现场指导工作。指导组查看了工程建设现场，召开了座谈会，听取了建设单位水土保持工作情况汇报，形成指导工作意见如下：</w:t>
      </w:r>
    </w:p>
    <w:p>
      <w:pPr>
        <w:pStyle w:val="15"/>
        <w:keepNext w:val="0"/>
        <w:keepLines w:val="0"/>
        <w:pageBreakBefore w:val="0"/>
        <w:widowControl w:val="0"/>
        <w:numPr>
          <w:ilvl w:val="0"/>
          <w:numId w:val="0"/>
        </w:numPr>
        <w:kinsoku/>
        <w:wordWrap/>
        <w:overflowPunct/>
        <w:topLinePunct w:val="0"/>
        <w:bidi w:val="0"/>
        <w:adjustRightInd w:val="0"/>
        <w:snapToGrid w:val="0"/>
        <w:spacing w:line="580" w:lineRule="exact"/>
        <w:ind w:leftChars="400" w:right="210" w:rightChars="1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基本情况</w:t>
      </w:r>
    </w:p>
    <w:p>
      <w:pPr>
        <w:keepNext w:val="0"/>
        <w:keepLines w:val="0"/>
        <w:pageBreakBefore w:val="0"/>
        <w:widowControl w:val="0"/>
        <w:kinsoku/>
        <w:overflowPunct/>
        <w:topLinePunct w:val="0"/>
        <w:autoSpaceDE w:val="0"/>
        <w:autoSpaceDN w:val="0"/>
        <w:bidi w:val="0"/>
        <w:adjustRightInd w:val="0"/>
        <w:spacing w:line="58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（一）安徽杨柳-南坪220KV线路工程项目</w:t>
      </w:r>
    </w:p>
    <w:p>
      <w:pPr>
        <w:keepNext w:val="0"/>
        <w:keepLines w:val="0"/>
        <w:pageBreakBefore w:val="0"/>
        <w:widowControl w:val="0"/>
        <w:kinsoku/>
        <w:overflowPunct/>
        <w:topLinePunct w:val="0"/>
        <w:bidi w:val="0"/>
        <w:spacing w:beforeLines="0" w:afterLines="0" w:line="5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本工程</w:t>
      </w:r>
      <w:r>
        <w:rPr>
          <w:rFonts w:hint="eastAsia" w:ascii="仿宋_GB2312" w:hAnsi="仿宋_GB2312" w:eastAsia="仿宋_GB2312" w:cs="仿宋_GB2312"/>
          <w:sz w:val="32"/>
          <w:szCs w:val="32"/>
        </w:rPr>
        <w:t>位于淮北市</w:t>
      </w:r>
      <w:r>
        <w:rPr>
          <w:rFonts w:hint="eastAsia" w:ascii="仿宋_GB2312" w:hAnsi="仿宋_GB2312" w:eastAsia="仿宋_GB2312" w:cs="仿宋_GB2312"/>
          <w:sz w:val="32"/>
          <w:szCs w:val="32"/>
          <w:lang w:val="en-US" w:eastAsia="zh-CN"/>
        </w:rPr>
        <w:t>濉溪县、亳州市蒙城县</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建设内容主要包括新建线路工程：新建架空线路路径长约22.4km，其中220kV杨柳变220kV构架起，至220kV南坪变220kV构架止，全线采用角钢塔架设，路径全长约21.9km，自220kV杨柳变220kV构架起，至220kV文杨2727线101号塔附近开断点止，全线采用双回路角钢塔架设，路径全长约0.5km。以上线路工程新建塔杆70基（其中包括钢筋混凝土板式基础25基，灌注桩基础40 基，承台钻孔灌注桩基础5 基）；间隔改扩建工程：杨柳220kV 变电站220kV 南坪间隔新建工程，南坪220kV 变电站220kV 杨柳间隔改造工程，漆园220kV 变电站220kV 杨柳间隔改造工程；塔杆拆除工程：沿线拆除路径工程116.2km，拆除塔杆315基。</w:t>
      </w:r>
      <w:r>
        <w:rPr>
          <w:rFonts w:hint="eastAsia" w:ascii="仿宋_GB2312" w:hAnsi="仿宋_GB2312" w:eastAsia="仿宋_GB2312" w:cs="仿宋_GB2312"/>
          <w:sz w:val="32"/>
          <w:szCs w:val="32"/>
        </w:rPr>
        <w:t>工程于</w:t>
      </w: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23</w:t>
      </w:r>
      <w:r>
        <w:rPr>
          <w:rFonts w:hint="eastAsia" w:ascii="仿宋_GB2312" w:hAnsi="仿宋_GB2312" w:eastAsia="仿宋_GB2312" w:cs="仿宋_GB2312"/>
          <w:sz w:val="32"/>
          <w:szCs w:val="32"/>
          <w:highlight w:val="none"/>
        </w:rPr>
        <w:t>年1</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rPr>
        <w:t>开工建设，</w:t>
      </w:r>
      <w:r>
        <w:rPr>
          <w:rFonts w:hint="eastAsia" w:ascii="仿宋_GB2312" w:hAnsi="仿宋_GB2312" w:eastAsia="仿宋_GB2312" w:cs="仿宋_GB2312"/>
          <w:bCs/>
          <w:sz w:val="32"/>
          <w:szCs w:val="32"/>
        </w:rPr>
        <w:t>总投资</w:t>
      </w:r>
      <w:r>
        <w:rPr>
          <w:rFonts w:hint="eastAsia" w:ascii="仿宋_GB2312" w:hAnsi="仿宋_GB2312" w:eastAsia="仿宋_GB2312" w:cs="仿宋_GB2312"/>
          <w:bCs/>
          <w:sz w:val="32"/>
          <w:szCs w:val="32"/>
          <w:lang w:val="en-US" w:eastAsia="zh-CN"/>
        </w:rPr>
        <w:t>1.39</w:t>
      </w:r>
      <w:r>
        <w:rPr>
          <w:rFonts w:hint="eastAsia" w:ascii="仿宋_GB2312" w:hAnsi="仿宋_GB2312" w:eastAsia="仿宋_GB2312" w:cs="仿宋_GB2312"/>
          <w:bCs/>
          <w:sz w:val="32"/>
          <w:szCs w:val="32"/>
        </w:rPr>
        <w:t>亿元，</w:t>
      </w:r>
      <w:r>
        <w:rPr>
          <w:rFonts w:hint="eastAsia" w:ascii="仿宋_GB2312" w:hAnsi="仿宋_GB2312" w:eastAsia="仿宋_GB2312" w:cs="仿宋_GB2312"/>
          <w:sz w:val="32"/>
          <w:szCs w:val="32"/>
        </w:rPr>
        <w:t>水土保持投资为</w:t>
      </w:r>
      <w:r>
        <w:rPr>
          <w:rFonts w:hint="eastAsia" w:ascii="仿宋_GB2312" w:hAnsi="仿宋_GB2312" w:eastAsia="仿宋_GB2312" w:cs="仿宋_GB2312"/>
          <w:sz w:val="32"/>
          <w:szCs w:val="32"/>
          <w:lang w:val="en-US" w:eastAsia="zh-CN"/>
        </w:rPr>
        <w:t>176.78</w:t>
      </w:r>
      <w:r>
        <w:rPr>
          <w:rFonts w:hint="eastAsia" w:ascii="仿宋_GB2312" w:hAnsi="仿宋_GB2312" w:eastAsia="仿宋_GB2312" w:cs="仿宋_GB2312"/>
          <w:sz w:val="32"/>
          <w:szCs w:val="32"/>
        </w:rPr>
        <w:t>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w:t>
      </w:r>
      <w:r>
        <w:rPr>
          <w:rFonts w:hint="eastAsia" w:ascii="仿宋_GB2312" w:hAnsi="仿宋_GB2312" w:eastAsia="仿宋_GB2312" w:cs="仿宋_GB2312"/>
          <w:sz w:val="32"/>
          <w:szCs w:val="32"/>
          <w:lang w:val="en-US" w:eastAsia="zh-CN"/>
        </w:rPr>
        <w:t>已完成塔基50基，间隔改扩建工程、塔杆拆除工程未施工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局以淮水许可〔2023〕</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pStyle w:val="15"/>
        <w:keepNext w:val="0"/>
        <w:keepLines w:val="0"/>
        <w:pageBreakBefore w:val="0"/>
        <w:widowControl w:val="0"/>
        <w:numPr>
          <w:ilvl w:val="0"/>
          <w:numId w:val="0"/>
        </w:numPr>
        <w:kinsoku/>
        <w:wordWrap/>
        <w:overflowPunct/>
        <w:topLinePunct w:val="0"/>
        <w:bidi w:val="0"/>
        <w:adjustRightInd w:val="0"/>
        <w:snapToGrid w:val="0"/>
        <w:spacing w:line="580" w:lineRule="exact"/>
        <w:ind w:right="210" w:rightChars="100"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lang w:eastAsia="zh-CN"/>
        </w:rPr>
        <w:t>淮北凌云220千伏输变电工程项目</w:t>
      </w:r>
    </w:p>
    <w:p>
      <w:pPr>
        <w:keepNext w:val="0"/>
        <w:keepLines w:val="0"/>
        <w:pageBreakBefore w:val="0"/>
        <w:widowControl w:val="0"/>
        <w:kinsoku/>
        <w:overflowPunct/>
        <w:topLinePunct w:val="0"/>
        <w:bidi w:val="0"/>
        <w:spacing w:beforeLines="0" w:afterLines="0" w:line="5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本工程</w:t>
      </w:r>
      <w:r>
        <w:rPr>
          <w:rFonts w:hint="eastAsia" w:ascii="仿宋_GB2312" w:hAnsi="仿宋_GB2312" w:eastAsia="仿宋_GB2312" w:cs="仿宋_GB2312"/>
          <w:sz w:val="32"/>
          <w:szCs w:val="32"/>
        </w:rPr>
        <w:t>位于淮北市</w:t>
      </w:r>
      <w:r>
        <w:rPr>
          <w:rFonts w:hint="eastAsia" w:ascii="仿宋_GB2312" w:hAnsi="仿宋_GB2312" w:eastAsia="仿宋_GB2312" w:cs="仿宋_GB2312"/>
          <w:sz w:val="32"/>
          <w:szCs w:val="32"/>
          <w:lang w:val="en-US" w:eastAsia="zh-CN"/>
        </w:rPr>
        <w:t>濉溪县境内</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建设内容主要包括新建凌云220kV 变电站；濉溪500kV 变电站220kV 凌云间隔改造工程；显通-碱河线路改接入凌云变220kV 电缆线路工程，线路自过渡阶段预留电缆终端杆，新建220kV 电缆沟接入凌云变220kV 显通、碱河间隔，新建双回电缆线路路径长约0.34km；凌云-濉溪220kV 改接线路电缆工程，线路起于拟建220kV 凌云变，止于凌云变南侧电缆终端塔，电缆路径长0.25km；凌云-濉溪220kV 架空线路工程，新建220kV 双回架空线路路径长约16km，另外，拆除濉溪-焦楼220kV 单回路铁塔线路13km，双回路钢管杆线路2.8km。</w:t>
      </w:r>
      <w:r>
        <w:rPr>
          <w:rFonts w:hint="eastAsia" w:ascii="仿宋_GB2312" w:hAnsi="仿宋_GB2312" w:eastAsia="仿宋_GB2312" w:cs="仿宋_GB2312"/>
          <w:sz w:val="32"/>
          <w:szCs w:val="32"/>
        </w:rPr>
        <w:t>工程于</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rPr>
        <w:t>开工建设，</w:t>
      </w:r>
      <w:r>
        <w:rPr>
          <w:rFonts w:hint="eastAsia" w:ascii="仿宋_GB2312" w:hAnsi="仿宋_GB2312" w:eastAsia="仿宋_GB2312" w:cs="仿宋_GB2312"/>
          <w:bCs/>
          <w:sz w:val="32"/>
          <w:szCs w:val="32"/>
        </w:rPr>
        <w:t>总投资</w:t>
      </w:r>
      <w:r>
        <w:rPr>
          <w:rFonts w:hint="eastAsia" w:ascii="仿宋_GB2312" w:hAnsi="仿宋_GB2312" w:eastAsia="仿宋_GB2312" w:cs="仿宋_GB2312"/>
          <w:bCs/>
          <w:sz w:val="32"/>
          <w:szCs w:val="32"/>
          <w:lang w:val="en-US" w:eastAsia="zh-CN"/>
        </w:rPr>
        <w:t>31989</w:t>
      </w:r>
      <w:r>
        <w:rPr>
          <w:rFonts w:hint="eastAsia" w:ascii="仿宋_GB2312" w:hAnsi="仿宋_GB2312" w:eastAsia="仿宋_GB2312" w:cs="仿宋_GB2312"/>
          <w:sz w:val="32"/>
          <w:szCs w:val="32"/>
        </w:rPr>
        <w:t>万元</w:t>
      </w:r>
      <w:r>
        <w:rPr>
          <w:rFonts w:hint="eastAsia" w:ascii="仿宋_GB2312" w:hAnsi="仿宋_GB2312" w:eastAsia="仿宋_GB2312" w:cs="仿宋_GB2312"/>
          <w:bCs/>
          <w:sz w:val="32"/>
          <w:szCs w:val="32"/>
        </w:rPr>
        <w:t>，</w:t>
      </w:r>
      <w:r>
        <w:rPr>
          <w:rFonts w:hint="eastAsia" w:ascii="仿宋_GB2312" w:hAnsi="仿宋_GB2312" w:eastAsia="仿宋_GB2312" w:cs="仿宋_GB2312"/>
          <w:sz w:val="32"/>
          <w:szCs w:val="32"/>
        </w:rPr>
        <w:t>水土保持投资</w:t>
      </w:r>
      <w:r>
        <w:rPr>
          <w:rFonts w:hint="eastAsia" w:ascii="仿宋_GB2312" w:hAnsi="仿宋_GB2312" w:eastAsia="仿宋_GB2312" w:cs="仿宋_GB2312"/>
          <w:sz w:val="32"/>
          <w:szCs w:val="32"/>
          <w:lang w:val="en-US" w:eastAsia="zh-CN"/>
        </w:rPr>
        <w:t>61.06</w:t>
      </w:r>
      <w:r>
        <w:rPr>
          <w:rFonts w:hint="eastAsia" w:ascii="仿宋_GB2312" w:hAnsi="仿宋_GB2312" w:eastAsia="仿宋_GB2312" w:cs="仿宋_GB2312"/>
          <w:sz w:val="32"/>
          <w:szCs w:val="32"/>
        </w:rPr>
        <w:t>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w:t>
      </w:r>
      <w:r>
        <w:rPr>
          <w:rFonts w:hint="eastAsia" w:ascii="仿宋_GB2312" w:hAnsi="仿宋_GB2312" w:eastAsia="仿宋_GB2312" w:cs="仿宋_GB2312"/>
          <w:sz w:val="32"/>
          <w:szCs w:val="32"/>
          <w:lang w:val="en-US" w:eastAsia="zh-CN"/>
        </w:rPr>
        <w:t>在建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w:t>
      </w:r>
      <w:r>
        <w:rPr>
          <w:rFonts w:hint="eastAsia" w:ascii="仿宋_GB2312" w:hAnsi="仿宋_GB2312" w:eastAsia="仿宋_GB2312" w:cs="仿宋_GB2312"/>
          <w:sz w:val="32"/>
          <w:szCs w:val="32"/>
          <w:lang w:val="en-US" w:eastAsia="zh-CN"/>
        </w:rPr>
        <w:t>承</w:t>
      </w:r>
      <w:r>
        <w:rPr>
          <w:rFonts w:hint="eastAsia" w:ascii="仿宋_GB2312" w:hAnsi="仿宋_GB2312" w:eastAsia="仿宋_GB2312" w:cs="仿宋_GB2312"/>
          <w:sz w:val="32"/>
          <w:szCs w:val="32"/>
        </w:rPr>
        <w:t>许可〔202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04</w:t>
      </w:r>
      <w:r>
        <w:rPr>
          <w:rFonts w:hint="eastAsia" w:ascii="仿宋_GB2312" w:hAnsi="仿宋_GB2312" w:eastAsia="仿宋_GB2312" w:cs="仿宋_GB2312"/>
          <w:sz w:val="32"/>
          <w:szCs w:val="32"/>
        </w:rPr>
        <w:t>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pStyle w:val="15"/>
        <w:keepNext w:val="0"/>
        <w:keepLines w:val="0"/>
        <w:pageBreakBefore w:val="0"/>
        <w:widowControl w:val="0"/>
        <w:numPr>
          <w:ilvl w:val="0"/>
          <w:numId w:val="0"/>
        </w:numPr>
        <w:kinsoku/>
        <w:wordWrap/>
        <w:overflowPunct/>
        <w:topLinePunct w:val="0"/>
        <w:bidi w:val="0"/>
        <w:adjustRightInd w:val="0"/>
        <w:snapToGrid w:val="0"/>
        <w:spacing w:line="580" w:lineRule="exact"/>
        <w:ind w:right="210" w:rightChars="100"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lang w:eastAsia="zh-CN"/>
        </w:rPr>
        <w:t>安徽淮北桓谭-马庄π入、碱河-马庄（T接学院）改接开渠变电站110KV线路工程</w:t>
      </w:r>
    </w:p>
    <w:p>
      <w:pPr>
        <w:keepNext w:val="0"/>
        <w:keepLines w:val="0"/>
        <w:pageBreakBefore w:val="0"/>
        <w:widowControl w:val="0"/>
        <w:kinsoku/>
        <w:overflowPunct/>
        <w:topLinePunct w:val="0"/>
        <w:bidi w:val="0"/>
        <w:spacing w:beforeLines="0" w:afterLines="0" w:line="5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本工程</w:t>
      </w:r>
      <w:r>
        <w:rPr>
          <w:rFonts w:hint="eastAsia" w:ascii="仿宋_GB2312" w:hAnsi="仿宋_GB2312" w:eastAsia="仿宋_GB2312" w:cs="仿宋_GB2312"/>
          <w:sz w:val="32"/>
          <w:szCs w:val="32"/>
        </w:rPr>
        <w:t>位于淮北市</w:t>
      </w:r>
      <w:r>
        <w:rPr>
          <w:rFonts w:hint="eastAsia" w:ascii="仿宋_GB2312" w:hAnsi="仿宋_GB2312" w:eastAsia="仿宋_GB2312" w:cs="仿宋_GB2312"/>
          <w:sz w:val="32"/>
          <w:szCs w:val="32"/>
          <w:lang w:val="en-US" w:eastAsia="zh-CN"/>
        </w:rPr>
        <w:t>杜集区境内，建设内容主要包括站内通信工程、桓谭-马庄π入、碱河-马庄(T接学院)改接开渠变电站110kV架空线路工程、桓谭-马庄π入、碱河-马庄(T接学院)改接入开渠变电站110kV电缆线路工程3个工程子项。</w:t>
      </w:r>
      <w:r>
        <w:rPr>
          <w:rFonts w:hint="eastAsia" w:ascii="仿宋_GB2312" w:hAnsi="仿宋_GB2312" w:eastAsia="仿宋_GB2312" w:cs="仿宋_GB2312"/>
          <w:sz w:val="32"/>
          <w:szCs w:val="32"/>
          <w:highlight w:val="none"/>
        </w:rPr>
        <w:t>工程于202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月开工建设，</w:t>
      </w:r>
      <w:r>
        <w:rPr>
          <w:rFonts w:hint="eastAsia" w:ascii="仿宋_GB2312" w:hAnsi="仿宋_GB2312" w:eastAsia="仿宋_GB2312" w:cs="仿宋_GB2312"/>
          <w:sz w:val="32"/>
          <w:szCs w:val="32"/>
          <w:lang w:val="en-US" w:eastAsia="zh-CN"/>
        </w:rPr>
        <w:t>总投资12879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水土保持投资</w:t>
      </w:r>
      <w:r>
        <w:rPr>
          <w:rFonts w:hint="eastAsia" w:ascii="仿宋_GB2312" w:hAnsi="仿宋_GB2312" w:eastAsia="仿宋_GB2312" w:cs="仿宋_GB2312"/>
          <w:sz w:val="32"/>
          <w:szCs w:val="32"/>
          <w:lang w:val="en-US" w:eastAsia="zh-CN"/>
        </w:rPr>
        <w:t>31.06</w:t>
      </w:r>
      <w:r>
        <w:rPr>
          <w:rFonts w:hint="eastAsia" w:ascii="仿宋_GB2312" w:hAnsi="仿宋_GB2312" w:eastAsia="仿宋_GB2312" w:cs="仿宋_GB2312"/>
          <w:sz w:val="32"/>
          <w:szCs w:val="32"/>
        </w:rPr>
        <w:t>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w:t>
      </w:r>
      <w:r>
        <w:rPr>
          <w:rFonts w:hint="eastAsia" w:ascii="仿宋_GB2312" w:hAnsi="仿宋_GB2312" w:eastAsia="仿宋_GB2312" w:cs="仿宋_GB2312"/>
          <w:sz w:val="32"/>
          <w:szCs w:val="32"/>
          <w:lang w:val="en-US" w:eastAsia="zh-CN"/>
        </w:rPr>
        <w:t>项目处于在建状态</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局以淮水承许可〔2023〕0</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pStyle w:val="15"/>
        <w:keepNext w:val="0"/>
        <w:keepLines w:val="0"/>
        <w:pageBreakBefore w:val="0"/>
        <w:widowControl w:val="0"/>
        <w:numPr>
          <w:ilvl w:val="0"/>
          <w:numId w:val="0"/>
        </w:numPr>
        <w:kinsoku/>
        <w:wordWrap/>
        <w:overflowPunct/>
        <w:topLinePunct w:val="0"/>
        <w:bidi w:val="0"/>
        <w:adjustRightInd w:val="0"/>
        <w:snapToGrid w:val="0"/>
        <w:spacing w:line="580" w:lineRule="exact"/>
        <w:ind w:right="210" w:rightChars="10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（四）安徽淮北李楼110KV输变电工程项目</w:t>
      </w:r>
    </w:p>
    <w:p>
      <w:pPr>
        <w:keepNext w:val="0"/>
        <w:keepLines w:val="0"/>
        <w:pageBreakBefore w:val="0"/>
        <w:widowControl w:val="0"/>
        <w:kinsoku/>
        <w:overflowPunct/>
        <w:topLinePunct w:val="0"/>
        <w:bidi w:val="0"/>
        <w:spacing w:beforeLines="0" w:afterLines="0" w:line="5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本工程</w:t>
      </w:r>
      <w:r>
        <w:rPr>
          <w:rFonts w:hint="eastAsia" w:ascii="仿宋_GB2312" w:hAnsi="仿宋_GB2312" w:eastAsia="仿宋_GB2312" w:cs="仿宋_GB2312"/>
          <w:sz w:val="32"/>
          <w:szCs w:val="32"/>
        </w:rPr>
        <w:t>位于</w:t>
      </w:r>
      <w:r>
        <w:rPr>
          <w:rFonts w:hint="eastAsia" w:ascii="仿宋_GB2312" w:hAnsi="仿宋_GB2312" w:eastAsia="仿宋_GB2312" w:cs="仿宋_GB2312"/>
          <w:sz w:val="32"/>
          <w:szCs w:val="32"/>
          <w:lang w:eastAsia="zh-CN"/>
        </w:rPr>
        <w:t>淮北市相山区</w:t>
      </w:r>
      <w:r>
        <w:rPr>
          <w:rFonts w:hint="eastAsia" w:ascii="仿宋_GB2312" w:hAnsi="仿宋_GB2312" w:eastAsia="仿宋_GB2312" w:cs="仿宋_GB2312"/>
          <w:sz w:val="32"/>
          <w:szCs w:val="32"/>
          <w:lang w:val="en-US" w:eastAsia="zh-CN"/>
        </w:rPr>
        <w:t>境内，建设内容包：1、</w:t>
      </w:r>
      <w:r>
        <w:rPr>
          <w:rFonts w:hint="eastAsia" w:ascii="仿宋_GB2312" w:hAnsi="仿宋_GB2312" w:eastAsia="仿宋_GB2312" w:cs="仿宋_GB2312"/>
          <w:sz w:val="32"/>
          <w:szCs w:val="32"/>
          <w:lang w:eastAsia="zh-CN"/>
        </w:rPr>
        <w:t>新建安徽淮北李楼110kV变电站</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淮北碱河变本期扩建110kV 李楼线路间隔1回，利用原有备用2间隔（自东向西第4出线间隔），接线形式不变，采用双母线接线；</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安徽淮北龙湖-李楼110kV线路工程，全线采用双回钢管杆、电缆混合架（敷）设。新建线路全长约4.0km，其中双回架空段路径长约3.2km（新建杆塔30基）；双回路电缆段路径长约0.8km（其中排管路径长0.575km，顶管路径长0.2km，工井0.025km）；</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安徽淮北碱河-李楼110kV 线路工程，全线采用双回钢管杆、电缆混合架（敷）设。新建线路全长约4.8km，其中双回架空段路径长约2.7km（新建杆塔24基）；双回路电缆段路径长约2.1km（其中排管路径长1.365km，顶管路径长0.307km，桥架长约0.09km，工井长0.338km）。</w:t>
      </w:r>
      <w:r>
        <w:rPr>
          <w:rFonts w:hint="eastAsia" w:ascii="仿宋_GB2312" w:hAnsi="仿宋_GB2312" w:eastAsia="仿宋_GB2312" w:cs="仿宋_GB2312"/>
          <w:sz w:val="32"/>
          <w:szCs w:val="32"/>
          <w:highlight w:val="none"/>
        </w:rPr>
        <w:t>工程于202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月开工建设</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总</w:t>
      </w:r>
      <w:r>
        <w:rPr>
          <w:rFonts w:hint="eastAsia" w:ascii="仿宋_GB2312" w:hAnsi="仿宋_GB2312" w:eastAsia="仿宋_GB2312" w:cs="仿宋_GB2312"/>
          <w:sz w:val="32"/>
          <w:szCs w:val="32"/>
        </w:rPr>
        <w:t>投资</w:t>
      </w:r>
      <w:r>
        <w:rPr>
          <w:rFonts w:hint="eastAsia" w:ascii="仿宋_GB2312" w:hAnsi="仿宋_GB2312" w:eastAsia="仿宋_GB2312" w:cs="仿宋_GB2312"/>
          <w:sz w:val="32"/>
          <w:szCs w:val="32"/>
          <w:lang w:val="en-US" w:eastAsia="zh-CN"/>
        </w:rPr>
        <w:t>14881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水土保持投资</w:t>
      </w:r>
      <w:r>
        <w:rPr>
          <w:rFonts w:hint="eastAsia" w:ascii="仿宋_GB2312" w:hAnsi="仿宋_GB2312" w:eastAsia="仿宋_GB2312" w:cs="仿宋_GB2312"/>
          <w:sz w:val="32"/>
          <w:szCs w:val="32"/>
          <w:lang w:val="en-US" w:eastAsia="zh-CN"/>
        </w:rPr>
        <w:t>34.95</w:t>
      </w:r>
      <w:r>
        <w:rPr>
          <w:rFonts w:hint="eastAsia" w:ascii="仿宋_GB2312" w:hAnsi="仿宋_GB2312" w:eastAsia="仿宋_GB2312" w:cs="仿宋_GB2312"/>
          <w:sz w:val="32"/>
          <w:szCs w:val="32"/>
        </w:rPr>
        <w:t>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w:t>
      </w:r>
      <w:r>
        <w:rPr>
          <w:rFonts w:hint="eastAsia" w:ascii="仿宋_GB2312" w:hAnsi="仿宋_GB2312" w:eastAsia="仿宋_GB2312" w:cs="仿宋_GB2312"/>
          <w:sz w:val="32"/>
          <w:szCs w:val="32"/>
          <w:lang w:val="en-US" w:eastAsia="zh-CN"/>
        </w:rPr>
        <w:t>处于在建状态</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局以淮水承许可〔2023〕0</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pStyle w:val="15"/>
        <w:keepNext w:val="0"/>
        <w:keepLines w:val="0"/>
        <w:pageBreakBefore w:val="0"/>
        <w:widowControl w:val="0"/>
        <w:numPr>
          <w:ilvl w:val="0"/>
          <w:numId w:val="0"/>
        </w:numPr>
        <w:kinsoku/>
        <w:wordWrap/>
        <w:overflowPunct/>
        <w:topLinePunct w:val="0"/>
        <w:bidi w:val="0"/>
        <w:adjustRightInd w:val="0"/>
        <w:snapToGrid w:val="0"/>
        <w:spacing w:line="580" w:lineRule="exact"/>
        <w:ind w:right="210" w:rightChars="10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（五）徐淮阜高速公路涉淮北供电公司电力线路迁改工程</w:t>
      </w:r>
    </w:p>
    <w:p>
      <w:pPr>
        <w:keepNext w:val="0"/>
        <w:keepLines w:val="0"/>
        <w:pageBreakBefore w:val="0"/>
        <w:widowControl w:val="0"/>
        <w:kinsoku/>
        <w:overflowPunct/>
        <w:topLinePunct w:val="0"/>
        <w:bidi w:val="0"/>
        <w:spacing w:beforeLines="0" w:afterLines="0" w:line="5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本工程</w:t>
      </w:r>
      <w:r>
        <w:rPr>
          <w:rFonts w:hint="eastAsia" w:ascii="仿宋_GB2312" w:hAnsi="仿宋_GB2312" w:eastAsia="仿宋_GB2312" w:cs="仿宋_GB2312"/>
          <w:sz w:val="32"/>
          <w:szCs w:val="32"/>
        </w:rPr>
        <w:t>位于</w:t>
      </w:r>
      <w:r>
        <w:rPr>
          <w:rFonts w:hint="eastAsia" w:ascii="仿宋_GB2312" w:hAnsi="仿宋_GB2312" w:eastAsia="仿宋_GB2312" w:cs="仿宋_GB2312"/>
          <w:sz w:val="32"/>
          <w:szCs w:val="32"/>
          <w:lang w:eastAsia="zh-CN"/>
        </w:rPr>
        <w:t>淮北市</w:t>
      </w:r>
      <w:r>
        <w:rPr>
          <w:rFonts w:hint="eastAsia" w:ascii="仿宋_GB2312" w:hAnsi="仿宋_GB2312" w:eastAsia="仿宋_GB2312" w:cs="仿宋_GB2312"/>
          <w:sz w:val="32"/>
          <w:szCs w:val="32"/>
          <w:lang w:val="en-US" w:eastAsia="zh-CN"/>
        </w:rPr>
        <w:t>濉溪县、</w:t>
      </w:r>
      <w:r>
        <w:rPr>
          <w:rFonts w:hint="eastAsia" w:ascii="仿宋_GB2312" w:hAnsi="仿宋_GB2312" w:eastAsia="仿宋_GB2312" w:cs="仿宋_GB2312"/>
          <w:sz w:val="32"/>
          <w:szCs w:val="32"/>
          <w:lang w:eastAsia="zh-CN"/>
        </w:rPr>
        <w:t>相山区</w:t>
      </w:r>
      <w:r>
        <w:rPr>
          <w:rFonts w:hint="eastAsia" w:ascii="仿宋_GB2312" w:hAnsi="仿宋_GB2312" w:eastAsia="仿宋_GB2312" w:cs="仿宋_GB2312"/>
          <w:sz w:val="32"/>
          <w:szCs w:val="32"/>
          <w:lang w:val="en-US" w:eastAsia="zh-CN"/>
        </w:rPr>
        <w:t>境内，建设内容包：</w:t>
      </w:r>
      <w:r>
        <w:rPr>
          <w:rFonts w:hint="eastAsia" w:ascii="仿宋_GB2312" w:hAnsi="仿宋_GB2312" w:eastAsia="仿宋_GB2312" w:cs="仿宋_GB2312"/>
          <w:sz w:val="32"/>
          <w:szCs w:val="32"/>
          <w:lang w:eastAsia="zh-CN"/>
        </w:rPr>
        <w:t>徐淮阜高速钻越220kV濉焦2V93线#192-#193段改造工程、徐淮阜高速钻越220kV濉焦2V94线#185-#186段改造工程、徐淮阜高速钻越220kV显碱2711/2712线#8-#26段改造工程、徐淮阜高速钻越220kV显五2V95/2V96线#8-#26段、110kV显刘白711/显刘溪712线#15-#38段改造工程、徐淮阜高速钻越110kV显刘白711/显刘溪712线#47-#47+4段改造工程、徐淮阜高速钻越110kV永瑞光伏718线#13-#28段改造工程、徐淮阜高速穿35kV 三堤口变电所-深部井512 线改造工程。</w:t>
      </w:r>
      <w:r>
        <w:rPr>
          <w:rFonts w:hint="eastAsia" w:ascii="仿宋_GB2312" w:hAnsi="仿宋_GB2312" w:eastAsia="仿宋_GB2312" w:cs="仿宋_GB2312"/>
          <w:sz w:val="32"/>
          <w:szCs w:val="32"/>
          <w:highlight w:val="none"/>
        </w:rPr>
        <w:t>工程于202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月开工建设</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总</w:t>
      </w:r>
      <w:r>
        <w:rPr>
          <w:rFonts w:hint="eastAsia" w:ascii="仿宋_GB2312" w:hAnsi="仿宋_GB2312" w:eastAsia="仿宋_GB2312" w:cs="仿宋_GB2312"/>
          <w:sz w:val="32"/>
          <w:szCs w:val="32"/>
        </w:rPr>
        <w:t>投资</w:t>
      </w:r>
      <w:r>
        <w:rPr>
          <w:rFonts w:hint="eastAsia" w:ascii="仿宋_GB2312" w:hAnsi="仿宋_GB2312" w:eastAsia="仿宋_GB2312" w:cs="仿宋_GB2312"/>
          <w:sz w:val="32"/>
          <w:szCs w:val="32"/>
          <w:lang w:val="en-US" w:eastAsia="zh-CN"/>
        </w:rPr>
        <w:t>10920.69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水土保持投资</w:t>
      </w:r>
      <w:r>
        <w:rPr>
          <w:rFonts w:hint="eastAsia" w:ascii="仿宋_GB2312" w:hAnsi="仿宋_GB2312" w:eastAsia="仿宋_GB2312" w:cs="仿宋_GB2312"/>
          <w:sz w:val="32"/>
          <w:szCs w:val="32"/>
          <w:lang w:val="en-US" w:eastAsia="zh-CN"/>
        </w:rPr>
        <w:t>112.196</w:t>
      </w:r>
      <w:r>
        <w:rPr>
          <w:rFonts w:hint="eastAsia" w:ascii="仿宋_GB2312" w:hAnsi="仿宋_GB2312" w:eastAsia="仿宋_GB2312" w:cs="仿宋_GB2312"/>
          <w:sz w:val="32"/>
          <w:szCs w:val="32"/>
        </w:rPr>
        <w:t>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w:t>
      </w:r>
      <w:r>
        <w:rPr>
          <w:rFonts w:hint="eastAsia" w:ascii="仿宋_GB2312" w:hAnsi="仿宋_GB2312" w:eastAsia="仿宋_GB2312" w:cs="仿宋_GB2312"/>
          <w:sz w:val="32"/>
          <w:szCs w:val="32"/>
          <w:lang w:val="en-US" w:eastAsia="zh-CN"/>
        </w:rPr>
        <w:t>处于在建状态</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局以淮水许可〔202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widowControl w:val="0"/>
        <w:kinsoku/>
        <w:overflowPunct/>
        <w:topLinePunct w:val="0"/>
        <w:autoSpaceDE w:val="0"/>
        <w:autoSpaceDN w:val="0"/>
        <w:bidi w:val="0"/>
        <w:adjustRightIn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成立了组织管理机构，制定了管理制度，明确了各参建单位工作职责；委托开展了水土保持监理工作，</w:t>
      </w:r>
      <w:r>
        <w:rPr>
          <w:rFonts w:hint="eastAsia" w:ascii="Times New Roman" w:hAnsi="Times New Roman" w:eastAsia="仿宋_GB2312" w:cs="Times New Roman"/>
          <w:sz w:val="32"/>
          <w:szCs w:val="32"/>
          <w:lang w:eastAsia="zh-CN"/>
        </w:rPr>
        <w:t>依法缴纳了水土保持补偿费</w:t>
      </w:r>
      <w:r>
        <w:rPr>
          <w:rFonts w:hint="default" w:ascii="Times New Roman" w:hAnsi="Times New Roman" w:eastAsia="仿宋_GB2312" w:cs="Times New Roman"/>
          <w:sz w:val="32"/>
          <w:szCs w:val="32"/>
        </w:rPr>
        <w:t>。</w:t>
      </w:r>
    </w:p>
    <w:p>
      <w:pPr>
        <w:pStyle w:val="15"/>
        <w:keepNext w:val="0"/>
        <w:keepLines w:val="0"/>
        <w:pageBreakBefore w:val="0"/>
        <w:widowControl w:val="0"/>
        <w:numPr>
          <w:ilvl w:val="0"/>
          <w:numId w:val="0"/>
        </w:numPr>
        <w:kinsoku/>
        <w:overflowPunct/>
        <w:topLinePunct w:val="0"/>
        <w:bidi w:val="0"/>
        <w:adjustRightInd w:val="0"/>
        <w:snapToGrid w:val="0"/>
        <w:spacing w:line="580" w:lineRule="exact"/>
        <w:ind w:left="643" w:leftChars="0"/>
        <w:textAlignment w:val="auto"/>
        <w:rPr>
          <w:rFonts w:hint="eastAsia"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eastAsia="zh-CN"/>
        </w:rPr>
        <w:t>主要问题</w:t>
      </w:r>
    </w:p>
    <w:p>
      <w:pPr>
        <w:pStyle w:val="15"/>
        <w:keepNext w:val="0"/>
        <w:keepLines w:val="0"/>
        <w:pageBreakBefore w:val="0"/>
        <w:widowControl w:val="0"/>
        <w:numPr>
          <w:ilvl w:val="0"/>
          <w:numId w:val="0"/>
        </w:numPr>
        <w:kinsoku/>
        <w:wordWrap/>
        <w:overflowPunct/>
        <w:topLinePunct w:val="0"/>
        <w:bidi w:val="0"/>
        <w:adjustRightInd w:val="0"/>
        <w:snapToGrid w:val="0"/>
        <w:spacing w:line="580" w:lineRule="exact"/>
        <w:ind w:right="210" w:rightChars="10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eastAsia="zh-CN"/>
        </w:rPr>
        <w:t>指导组采用无人机航拍和现场指导等方式开展指导工作，发现的问题</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lang w:val="en-US" w:eastAsia="zh-CN"/>
        </w:rPr>
        <w:t>徐淮阜高速公路涉淮北供电公司电力线路迁改工程未开展水土保持监测工作；二是淮北凌云220千伏输变电工程项目部分区域地表裸露。</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w:t>
      </w:r>
      <w:r>
        <w:rPr>
          <w:rFonts w:hint="eastAsia" w:ascii="黑体" w:hAnsi="黑体" w:eastAsia="黑体" w:cs="黑体"/>
          <w:sz w:val="32"/>
          <w:szCs w:val="32"/>
          <w:lang w:eastAsia="zh-CN"/>
        </w:rPr>
        <w:t>整改意见</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按照批复的水土保持方案及后续设计要求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抓紧开展</w:t>
      </w:r>
      <w:r>
        <w:rPr>
          <w:rFonts w:hint="eastAsia" w:ascii="仿宋_GB2312" w:hAnsi="仿宋_GB2312" w:eastAsia="仿宋_GB2312" w:cs="仿宋_GB2312"/>
          <w:sz w:val="32"/>
          <w:szCs w:val="32"/>
          <w:lang w:val="en-US" w:eastAsia="zh-CN"/>
        </w:rPr>
        <w:t>徐淮阜高速公路涉淮北供电公司电力线路迁改工程</w:t>
      </w:r>
      <w:r>
        <w:rPr>
          <w:rFonts w:hint="eastAsia" w:ascii="仿宋_GB2312" w:hAnsi="仿宋_GB2312" w:eastAsia="仿宋_GB2312" w:cs="仿宋_GB2312"/>
          <w:sz w:val="32"/>
          <w:szCs w:val="32"/>
        </w:rPr>
        <w:t>水土保持监测工作，按规定向我局提交监测季度报告及总结报告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完善裸露地表的临时防护措施；</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sz w:val="32"/>
          <w:szCs w:val="32"/>
        </w:rPr>
        <w:t xml:space="preserve"> </w:t>
      </w: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下一步工作要求</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按照批复的水土保持方案和后续设计要求，及时实施水土保持工程、植物和临时措施，把“预防为主、保护优先”贯穿项目建设管理全过程。</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lang w:val="en-US" w:eastAsia="zh-CN"/>
        </w:rPr>
        <w:t>濉溪县水务局、杜集区</w:t>
      </w:r>
      <w:r>
        <w:rPr>
          <w:rFonts w:hint="eastAsia" w:ascii="仿宋_GB2312" w:hAnsi="仿宋_GB2312" w:eastAsia="仿宋_GB2312" w:cs="仿宋_GB2312"/>
          <w:sz w:val="32"/>
          <w:szCs w:val="32"/>
          <w:lang w:eastAsia="zh-CN"/>
        </w:rPr>
        <w:t>农业农村水利局</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相山区</w:t>
      </w:r>
      <w:r>
        <w:rPr>
          <w:rFonts w:hint="eastAsia" w:ascii="仿宋_GB2312" w:hAnsi="仿宋_GB2312" w:eastAsia="仿宋_GB2312" w:cs="仿宋_GB2312"/>
          <w:sz w:val="32"/>
          <w:szCs w:val="32"/>
          <w:lang w:eastAsia="zh-CN"/>
        </w:rPr>
        <w:t>农业农村水利局</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overflowPunct/>
        <w:topLinePunct w:val="0"/>
        <w:autoSpaceDE/>
        <w:autoSpaceDN/>
        <w:bidi w:val="0"/>
        <w:adjustRightInd w:val="0"/>
        <w:snapToGrid w:val="0"/>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widowControl w:val="0"/>
        <w:kinsoku/>
        <w:overflowPunct/>
        <w:topLinePunct w:val="0"/>
        <w:autoSpaceDE/>
        <w:autoSpaceDN/>
        <w:bidi w:val="0"/>
        <w:adjustRightInd w:val="0"/>
        <w:snapToGrid w:val="0"/>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widowControl w:val="0"/>
        <w:kinsoku/>
        <w:overflowPunct/>
        <w:topLinePunct w:val="0"/>
        <w:autoSpaceDE/>
        <w:autoSpaceDN/>
        <w:bidi w:val="0"/>
        <w:adjustRightInd w:val="0"/>
        <w:snapToGrid w:val="0"/>
        <w:spacing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keepNext w:val="0"/>
        <w:keepLines w:val="0"/>
        <w:pageBreakBefore w:val="0"/>
        <w:widowControl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overflowPunct/>
        <w:topLinePunct w:val="0"/>
        <w:bidi w:val="0"/>
        <w:adjustRightInd w:val="0"/>
        <w:snapToGrid w:val="0"/>
        <w:spacing w:line="580" w:lineRule="exact"/>
        <w:ind w:firstLine="0" w:firstLine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beforeLines="0" w:afterLines="0" w:line="58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val="0"/>
        <w:bidi w:val="0"/>
        <w:adjustRightInd w:val="0"/>
        <w:snapToGrid w:val="0"/>
        <w:spacing w:line="580" w:lineRule="exact"/>
        <w:ind w:firstLine="4800" w:firstLineChars="1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bookmarkStart w:id="0" w:name="_GoBack"/>
      <w:bookmarkEnd w:id="0"/>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yYWY1Y2EyNzVlZjA5M2E2YTA4YWJmMTY0ZDQyZTEifQ=="/>
  </w:docVars>
  <w:rsids>
    <w:rsidRoot w:val="00172A27"/>
    <w:rsid w:val="0000155D"/>
    <w:rsid w:val="00007837"/>
    <w:rsid w:val="000104ED"/>
    <w:rsid w:val="00042D35"/>
    <w:rsid w:val="00056403"/>
    <w:rsid w:val="00061012"/>
    <w:rsid w:val="000A0FE2"/>
    <w:rsid w:val="000D1307"/>
    <w:rsid w:val="000D2765"/>
    <w:rsid w:val="000E36AF"/>
    <w:rsid w:val="000F2908"/>
    <w:rsid w:val="001020C4"/>
    <w:rsid w:val="00143AA1"/>
    <w:rsid w:val="001455ED"/>
    <w:rsid w:val="00192BCA"/>
    <w:rsid w:val="001B2686"/>
    <w:rsid w:val="001C0BAC"/>
    <w:rsid w:val="00206D35"/>
    <w:rsid w:val="00223208"/>
    <w:rsid w:val="002348D1"/>
    <w:rsid w:val="00235801"/>
    <w:rsid w:val="002433B7"/>
    <w:rsid w:val="002767C0"/>
    <w:rsid w:val="002C0F4A"/>
    <w:rsid w:val="002C2721"/>
    <w:rsid w:val="0030088C"/>
    <w:rsid w:val="00365CFF"/>
    <w:rsid w:val="003877DE"/>
    <w:rsid w:val="00391F6D"/>
    <w:rsid w:val="003A2C8A"/>
    <w:rsid w:val="004139BC"/>
    <w:rsid w:val="004250A6"/>
    <w:rsid w:val="004350B9"/>
    <w:rsid w:val="00487AFA"/>
    <w:rsid w:val="00491252"/>
    <w:rsid w:val="004D178C"/>
    <w:rsid w:val="004D6ACD"/>
    <w:rsid w:val="00501C53"/>
    <w:rsid w:val="00513B63"/>
    <w:rsid w:val="0053469E"/>
    <w:rsid w:val="0053686B"/>
    <w:rsid w:val="00550833"/>
    <w:rsid w:val="00552844"/>
    <w:rsid w:val="00562192"/>
    <w:rsid w:val="005C1514"/>
    <w:rsid w:val="005C1FD9"/>
    <w:rsid w:val="005D7B80"/>
    <w:rsid w:val="005F2111"/>
    <w:rsid w:val="0061001A"/>
    <w:rsid w:val="00665BF6"/>
    <w:rsid w:val="00667BFB"/>
    <w:rsid w:val="006E2FCD"/>
    <w:rsid w:val="006E6638"/>
    <w:rsid w:val="00720094"/>
    <w:rsid w:val="00743FE5"/>
    <w:rsid w:val="00761DB6"/>
    <w:rsid w:val="00764723"/>
    <w:rsid w:val="00764799"/>
    <w:rsid w:val="00795820"/>
    <w:rsid w:val="007B2252"/>
    <w:rsid w:val="007C791E"/>
    <w:rsid w:val="0080083F"/>
    <w:rsid w:val="00802CE9"/>
    <w:rsid w:val="00815DE4"/>
    <w:rsid w:val="008219C1"/>
    <w:rsid w:val="00854200"/>
    <w:rsid w:val="0085579A"/>
    <w:rsid w:val="00860BE1"/>
    <w:rsid w:val="0087106A"/>
    <w:rsid w:val="008778AD"/>
    <w:rsid w:val="008A5C50"/>
    <w:rsid w:val="008B2729"/>
    <w:rsid w:val="008B2ECD"/>
    <w:rsid w:val="008B6056"/>
    <w:rsid w:val="008C007C"/>
    <w:rsid w:val="008C128B"/>
    <w:rsid w:val="008C3281"/>
    <w:rsid w:val="008D764F"/>
    <w:rsid w:val="009065E4"/>
    <w:rsid w:val="0093270A"/>
    <w:rsid w:val="0094461B"/>
    <w:rsid w:val="00957ACB"/>
    <w:rsid w:val="00963B46"/>
    <w:rsid w:val="00990646"/>
    <w:rsid w:val="009908EE"/>
    <w:rsid w:val="009B64F7"/>
    <w:rsid w:val="009E1F03"/>
    <w:rsid w:val="009F5B8D"/>
    <w:rsid w:val="00A133DF"/>
    <w:rsid w:val="00A14679"/>
    <w:rsid w:val="00A44BDC"/>
    <w:rsid w:val="00A550B3"/>
    <w:rsid w:val="00A5709F"/>
    <w:rsid w:val="00A66853"/>
    <w:rsid w:val="00AB2873"/>
    <w:rsid w:val="00AB6929"/>
    <w:rsid w:val="00AC07B8"/>
    <w:rsid w:val="00AC3AB1"/>
    <w:rsid w:val="00AD6F58"/>
    <w:rsid w:val="00B255CA"/>
    <w:rsid w:val="00B45E6A"/>
    <w:rsid w:val="00B84493"/>
    <w:rsid w:val="00B8478E"/>
    <w:rsid w:val="00B90ECE"/>
    <w:rsid w:val="00BD1518"/>
    <w:rsid w:val="00C01151"/>
    <w:rsid w:val="00C04B79"/>
    <w:rsid w:val="00C22150"/>
    <w:rsid w:val="00C307D8"/>
    <w:rsid w:val="00C55E93"/>
    <w:rsid w:val="00C64008"/>
    <w:rsid w:val="00C82CC4"/>
    <w:rsid w:val="00C91A3D"/>
    <w:rsid w:val="00C958B8"/>
    <w:rsid w:val="00C97687"/>
    <w:rsid w:val="00CC0FD5"/>
    <w:rsid w:val="00D00142"/>
    <w:rsid w:val="00D10A7B"/>
    <w:rsid w:val="00D353A2"/>
    <w:rsid w:val="00D40875"/>
    <w:rsid w:val="00D65B21"/>
    <w:rsid w:val="00D83C66"/>
    <w:rsid w:val="00DC206F"/>
    <w:rsid w:val="00DC74DF"/>
    <w:rsid w:val="00DE06DD"/>
    <w:rsid w:val="00DE620E"/>
    <w:rsid w:val="00DF37A1"/>
    <w:rsid w:val="00E1658B"/>
    <w:rsid w:val="00E3488D"/>
    <w:rsid w:val="00E93DA5"/>
    <w:rsid w:val="00E941D3"/>
    <w:rsid w:val="00ED26BE"/>
    <w:rsid w:val="00F00E78"/>
    <w:rsid w:val="00F07AC2"/>
    <w:rsid w:val="00F14CC3"/>
    <w:rsid w:val="00F153F7"/>
    <w:rsid w:val="00F47C10"/>
    <w:rsid w:val="00F60995"/>
    <w:rsid w:val="00F72EC8"/>
    <w:rsid w:val="00F75BD3"/>
    <w:rsid w:val="00FC4D83"/>
    <w:rsid w:val="00FF08A0"/>
    <w:rsid w:val="00FF5BF3"/>
    <w:rsid w:val="03842784"/>
    <w:rsid w:val="05417803"/>
    <w:rsid w:val="0B47385F"/>
    <w:rsid w:val="0DA968B7"/>
    <w:rsid w:val="103D2C81"/>
    <w:rsid w:val="111C69D5"/>
    <w:rsid w:val="115604BB"/>
    <w:rsid w:val="116E041E"/>
    <w:rsid w:val="118F5CAF"/>
    <w:rsid w:val="14D01FB4"/>
    <w:rsid w:val="15AD49DB"/>
    <w:rsid w:val="16983E87"/>
    <w:rsid w:val="17063131"/>
    <w:rsid w:val="189C2207"/>
    <w:rsid w:val="1E135E67"/>
    <w:rsid w:val="1E4F15D7"/>
    <w:rsid w:val="1FAE29EB"/>
    <w:rsid w:val="20C119D8"/>
    <w:rsid w:val="21B96B04"/>
    <w:rsid w:val="23EA286B"/>
    <w:rsid w:val="243F5A92"/>
    <w:rsid w:val="28AE4F76"/>
    <w:rsid w:val="28FB5791"/>
    <w:rsid w:val="29A2269D"/>
    <w:rsid w:val="2AEA5F1A"/>
    <w:rsid w:val="2BFA0DD4"/>
    <w:rsid w:val="2CCE400E"/>
    <w:rsid w:val="305D3D1F"/>
    <w:rsid w:val="345C0CC2"/>
    <w:rsid w:val="350D0FC3"/>
    <w:rsid w:val="3A6A7521"/>
    <w:rsid w:val="3AEE3654"/>
    <w:rsid w:val="3B912B31"/>
    <w:rsid w:val="3DDC7A09"/>
    <w:rsid w:val="3ECB69D0"/>
    <w:rsid w:val="3FF65C93"/>
    <w:rsid w:val="40905D53"/>
    <w:rsid w:val="419B53ED"/>
    <w:rsid w:val="44D91835"/>
    <w:rsid w:val="46A77B8F"/>
    <w:rsid w:val="4791058F"/>
    <w:rsid w:val="49C6281F"/>
    <w:rsid w:val="4A8561FD"/>
    <w:rsid w:val="4B583D64"/>
    <w:rsid w:val="4C526D71"/>
    <w:rsid w:val="4D1A0EC1"/>
    <w:rsid w:val="4F4A05C2"/>
    <w:rsid w:val="552F0B14"/>
    <w:rsid w:val="56683035"/>
    <w:rsid w:val="5691637D"/>
    <w:rsid w:val="58407BB5"/>
    <w:rsid w:val="584577B2"/>
    <w:rsid w:val="587770C2"/>
    <w:rsid w:val="58EF5E5C"/>
    <w:rsid w:val="5A237E76"/>
    <w:rsid w:val="5EAA458C"/>
    <w:rsid w:val="5EB45911"/>
    <w:rsid w:val="631414FE"/>
    <w:rsid w:val="635E0838"/>
    <w:rsid w:val="6624369C"/>
    <w:rsid w:val="683300CC"/>
    <w:rsid w:val="6B6F1AAC"/>
    <w:rsid w:val="6C2228DB"/>
    <w:rsid w:val="71245771"/>
    <w:rsid w:val="71AF4D43"/>
    <w:rsid w:val="76B94D3D"/>
    <w:rsid w:val="77BC6EC3"/>
    <w:rsid w:val="7C987D65"/>
    <w:rsid w:val="7CA22B51"/>
    <w:rsid w:val="7EB937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3"/>
    <w:autoRedefine/>
    <w:semiHidden/>
    <w:unhideWhenUsed/>
    <w:qFormat/>
    <w:uiPriority w:val="99"/>
    <w:rPr>
      <w:rFonts w:ascii="宋体" w:eastAsia="宋体"/>
      <w:sz w:val="18"/>
      <w:szCs w:val="18"/>
    </w:rPr>
  </w:style>
  <w:style w:type="paragraph" w:styleId="3">
    <w:name w:val="Balloon Text"/>
    <w:basedOn w:val="1"/>
    <w:link w:val="14"/>
    <w:autoRedefine/>
    <w:semiHidden/>
    <w:unhideWhenUsed/>
    <w:qFormat/>
    <w:uiPriority w:val="99"/>
    <w:rPr>
      <w:sz w:val="18"/>
      <w:szCs w:val="18"/>
    </w:rPr>
  </w:style>
  <w:style w:type="paragraph" w:styleId="4">
    <w:name w:val="footer"/>
    <w:basedOn w:val="1"/>
    <w:link w:val="11"/>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autoRedefine/>
    <w:semiHidden/>
    <w:qFormat/>
    <w:uiPriority w:val="99"/>
    <w:rPr>
      <w:sz w:val="18"/>
      <w:szCs w:val="18"/>
    </w:rPr>
  </w:style>
  <w:style w:type="character" w:customStyle="1" w:styleId="11">
    <w:name w:val="页脚 Char"/>
    <w:basedOn w:val="9"/>
    <w:link w:val="4"/>
    <w:autoRedefine/>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autoRedefine/>
    <w:semiHidden/>
    <w:qFormat/>
    <w:uiPriority w:val="99"/>
    <w:rPr>
      <w:rFonts w:ascii="宋体" w:eastAsia="宋体"/>
      <w:kern w:val="2"/>
      <w:sz w:val="18"/>
      <w:szCs w:val="18"/>
    </w:rPr>
  </w:style>
  <w:style w:type="character" w:customStyle="1" w:styleId="14">
    <w:name w:val="批注框文本 Char"/>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autoRedefine/>
    <w:unhideWhenUsed/>
    <w:qFormat/>
    <w:uiPriority w:val="99"/>
    <w:pPr>
      <w:ind w:firstLine="420" w:firstLineChars="200"/>
    </w:p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2972</Words>
  <Characters>3514</Characters>
  <Lines>12</Lines>
  <Paragraphs>3</Paragraphs>
  <TotalTime>0</TotalTime>
  <ScaleCrop>false</ScaleCrop>
  <LinksUpToDate>false</LinksUpToDate>
  <CharactersWithSpaces>3563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2023-05-29T01:18:00Z</dcterms:created>
  <dc:creator>lenovo</dc:creator>
  <cp:lastModifiedBy>&amp;&amp;</cp:lastModifiedBy>
  <cp:lastPrinted>2019-12-23T10:35:00Z</cp:lastPrinted>
  <dcterms:modified xsi:type="dcterms:W3CDTF">2024-06-27T01:18:33Z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F8B18053DF664CCABDE048FEB37E38FD_13</vt:lpwstr>
  </property>
</Properties>
</file>